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55 vom 23. November 2023</w:t>
      </w:r>
    </w:p>
    <w:p>
      <w:r>
        <w:t>GR Gerichte, 2023-11-23, DE</w:t>
      </w:r>
    </w:p>
    <w:p>
      <w:r>
        <w:rPr>
          <w:b/>
        </w:rPr>
        <w:t xml:space="preserve">Quelle: </w:t>
      </w:r>
      <w:r>
        <w:t>https://mcp.opencaselaw.ch/entscheid/gr_gerichte_SK1 2023 55</w:t>
      </w:r>
    </w:p>
    <w:p>
      <w:r>
        <w:t>FR: GR_GERICHTE SK1 2023 55 du 23 novembre 2023</w:t>
      </w:r>
    </w:p>
    <w:p>
      <w:r>
        <w:t>IT: GR_GERICHTE SK1 2023 55 del 23 novembre 2023</w:t>
      </w:r>
    </w:p>
    <w:p>
      <w:pPr>
        <w:pStyle w:val="Heading2"/>
      </w:pPr>
      <w:r>
        <w:t>Regeste</w:t>
      </w:r>
    </w:p>
    <w:p>
      <w:r>
        <w:t>Ausstand</w:t>
      </w:r>
    </w:p>
    <w:p>
      <w:pPr>
        <w:pStyle w:val="Heading2"/>
      </w:pPr>
      <w:r>
        <w:t>Erwägungen</w:t>
      </w:r>
    </w:p>
    <w:p>
      <w:r>
        <w:rPr>
          <w:b/>
        </w:rPr>
        <w:t>E. 1</w:t>
      </w:r>
    </w:p>
    <w:p>
      <w:r>
        <w:t>Über den Ausstand von Mitgliedern der Beschwerdekammer entscheidet das Berufungsgericht (Art. 59 Abs. 1 lit. c StPO).</w:t>
      </w:r>
    </w:p>
    <w:p>
      <w:r>
        <w:rPr>
          <w:b/>
        </w:rPr>
        <w:t>E. 2</w:t>
      </w:r>
    </w:p>
    <w:p>
      <w:r>
        <w:t>Grundlage der Meldung von Kantonsrichter C._____ vom 23. Mai 2023 ist ein möglicher Ausstandsgrund gemäss Art. 56 lit. f StPO. Ein Selbstausstand ist bei dieser Ausganslage ausgeschlossen; das Verfahren gemäss Art. 59 Abs. 1 StPO ist zwingend durchzuführen (Markus Boog, in: Niggli/Heer/Wiprächtiger [Hrsg.], Basler Kommentar, Schweizerische Strafprozessordnung, 3. Aufl., Basel 2023, N 1 zu Art. 59 StPO). Das von B._____ zusätzlich eingereichte Ausstands- gesuch erweist sich damit als überflüssig. Auf die Frage von dessen Rechtzeitig- keit ist nicht weiter einzugehen.</w:t>
      </w:r>
    </w:p>
    <w:p>
      <w:r>
        <w:rPr>
          <w:b/>
        </w:rPr>
        <w:t>E. 3</w:t>
      </w:r>
    </w:p>
    <w:p>
      <w:r>
        <w:t>/ 5 Misstrauen in die Unparteilichkeit des Richters zu erwecken. Dabei ist nicht auf das subjektive Empfinden einer Partei abzustellen. Das Misstrauen in die Unvor- 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(BGE 148 IV 137 E. 2.2 mit Hinweisen). Ein kollegiales Verhältnis bzw. eine berufliche Beziehung zwischen der in der Strafbehörde tätigen Person und einer Verfahrenspartei oder deren Rechtsbeistand begründen keinen Ausstandsgrund, sofern keine weiteren, kon- kreten Umstände auf mangelnde Unvoreingenommenheit schliessen lassen (BGer 7B_156/2022 v. 7.9.2023 E. 4.5.1 mit Hinweisen). Auch die Mitgliedschaft in der- selben politischen Partei stellt für sich alleine keinen Ausstandsgrund dar (Boog, a.a.O., N 40 zu Art. 56 StPO).</w:t>
      </w:r>
    </w:p>
    <w:p>
      <w:r>
        <w:rPr>
          <w:b/>
        </w:rPr>
        <w:t>E. 4</w:t>
      </w:r>
    </w:p>
    <w:p>
      <w:r>
        <w:t>/ 5 men politischen Partei kam es zu keiner engeren Zusammenarbeit, sondern einzig zu Begegnungen anlässlich von Delegiertenversammlungen und Fraktionsanläs- sen. Es ist keine besondere Freundschaft erkennbar, welche über bloss berufliche Kontakte oder die schlichte Mitgliedschaft in derselben politischen Partei hinaus- gehen würde. Ein Ausstandgrund liegt demnach nicht vor.</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